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stud</w:t>
      </w:r>
      <w:r w:rsidR="002C5162">
        <w:rPr>
          <w:b/>
          <w:sz w:val="24"/>
          <w:szCs w:val="24"/>
          <w:lang w:val="en-GB"/>
        </w:rPr>
        <w:t>ies and traineeship</w:t>
      </w:r>
      <w:r w:rsidR="000060F9">
        <w:rPr>
          <w:b/>
          <w:sz w:val="24"/>
          <w:szCs w:val="24"/>
          <w:lang w:val="en-GB"/>
        </w:rPr>
        <w:t xml:space="preserve"> </w:t>
      </w:r>
      <w:r w:rsidR="00363D40" w:rsidRPr="00363D40">
        <w:rPr>
          <w:b/>
          <w:sz w:val="24"/>
          <w:szCs w:val="24"/>
          <w:lang w:val="en-GB"/>
        </w:rPr>
        <w:t>between PROGRAMME and PARTNER COUNTRIES</w:t>
      </w:r>
    </w:p>
    <w:p w:rsidR="006302A3" w:rsidRDefault="006302A3" w:rsidP="002E24F7">
      <w:pPr>
        <w:rPr>
          <w:b/>
          <w:sz w:val="24"/>
          <w:szCs w:val="24"/>
          <w:lang w:val="en-GB"/>
        </w:rPr>
      </w:pPr>
    </w:p>
    <w:p w:rsidR="006302A3" w:rsidRDefault="006302A3"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F0468A" w:rsidRDefault="00F0468A" w:rsidP="00A82C0F">
      <w:pPr>
        <w:jc w:val="both"/>
        <w:rPr>
          <w:szCs w:val="24"/>
          <w:lang w:val="en-GB"/>
        </w:rPr>
      </w:pPr>
    </w:p>
    <w:p w:rsidR="00AB0D74" w:rsidRDefault="00AB0D74"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8251C4" w:rsidRDefault="00F96310" w:rsidP="00AB0D74">
      <w:pPr>
        <w:tabs>
          <w:tab w:val="left" w:pos="1701"/>
        </w:tabs>
        <w:ind w:left="1701" w:hanging="1701"/>
        <w:rPr>
          <w:lang w:val="en-GB"/>
        </w:rPr>
      </w:pPr>
      <w:r w:rsidRPr="00735E06">
        <w:rPr>
          <w:sz w:val="24"/>
          <w:szCs w:val="24"/>
          <w:lang w:val="en-GB"/>
        </w:rPr>
        <w:t>Annex I</w:t>
      </w:r>
      <w:r w:rsidR="00BC384A" w:rsidRPr="00735E06">
        <w:rPr>
          <w:sz w:val="24"/>
          <w:szCs w:val="24"/>
          <w:lang w:val="en-GB"/>
        </w:rPr>
        <w:tab/>
      </w:r>
      <w:r w:rsidR="00AB0D74">
        <w:rPr>
          <w:sz w:val="24"/>
          <w:szCs w:val="24"/>
          <w:lang w:val="en-GB"/>
        </w:rPr>
        <w:t>[</w:t>
      </w:r>
      <w:r w:rsidR="00AB0D74">
        <w:rPr>
          <w:highlight w:val="cyan"/>
          <w:lang w:val="en-GB"/>
        </w:rPr>
        <w:t>Institution to select:</w:t>
      </w:r>
      <w:r w:rsidR="00AB0D74">
        <w:rPr>
          <w:lang w:val="en-GB"/>
        </w:rPr>
        <w:t xml:space="preserve"> </w:t>
      </w:r>
    </w:p>
    <w:p w:rsidR="008251C4" w:rsidRPr="008251C4" w:rsidRDefault="008251C4" w:rsidP="00AB0D74">
      <w:pPr>
        <w:tabs>
          <w:tab w:val="left" w:pos="1701"/>
        </w:tabs>
        <w:ind w:left="1701" w:hanging="1701"/>
        <w:rPr>
          <w:sz w:val="22"/>
          <w:szCs w:val="22"/>
          <w:highlight w:val="yellow"/>
          <w:lang w:val="en-GB"/>
        </w:rPr>
      </w:pPr>
      <w:r>
        <w:rPr>
          <w:lang w:val="en-GB"/>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studies</w:t>
      </w:r>
    </w:p>
    <w:p w:rsidR="00AB0D74" w:rsidRPr="008251C4" w:rsidRDefault="008251C4" w:rsidP="00AB0D74">
      <w:pPr>
        <w:tabs>
          <w:tab w:val="left" w:pos="1701"/>
        </w:tabs>
        <w:ind w:left="1701" w:hanging="1701"/>
        <w:rPr>
          <w:sz w:val="22"/>
          <w:szCs w:val="22"/>
          <w:highlight w:val="yellow"/>
          <w:lang w:val="en-GB"/>
        </w:rPr>
      </w:pPr>
      <w:r w:rsidRPr="008251C4">
        <w:rPr>
          <w:rFonts w:ascii="Wingdings" w:eastAsia="Wingdings" w:hAnsi="Wingdings" w:cs="Wingdings"/>
          <w:sz w:val="22"/>
          <w:szCs w:val="22"/>
          <w:lang w:val="tr-TR"/>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traineeships</w:t>
      </w:r>
    </w:p>
    <w:p w:rsidR="00AB0D74" w:rsidRPr="008251C4" w:rsidRDefault="00AB0D74" w:rsidP="00AB0D74">
      <w:pPr>
        <w:tabs>
          <w:tab w:val="left" w:pos="1701"/>
        </w:tabs>
        <w:ind w:left="1701" w:hanging="1701"/>
        <w:rPr>
          <w:sz w:val="22"/>
          <w:szCs w:val="22"/>
          <w:lang w:val="en-GB"/>
        </w:rPr>
      </w:pPr>
      <w:r w:rsidRPr="008251C4">
        <w:rPr>
          <w:sz w:val="22"/>
          <w:szCs w:val="22"/>
          <w:lang w:val="en-GB"/>
        </w:rPr>
        <w:tab/>
      </w:r>
      <w:r w:rsidR="008251C4" w:rsidRPr="008251C4">
        <w:rPr>
          <w:rFonts w:ascii="Wingdings" w:eastAsia="Wingdings" w:hAnsi="Wingdings" w:cs="Wingdings"/>
          <w:sz w:val="22"/>
          <w:szCs w:val="22"/>
          <w:lang w:val="tr-TR"/>
        </w:rPr>
        <w:t></w:t>
      </w:r>
      <w:r w:rsidR="008251C4" w:rsidRPr="008251C4">
        <w:rPr>
          <w:rFonts w:ascii="Wingdings" w:eastAsia="Wingdings" w:hAnsi="Wingdings" w:cs="Wingdings"/>
          <w:sz w:val="22"/>
          <w:szCs w:val="22"/>
          <w:lang w:val="tr-TR"/>
        </w:rPr>
        <w:t></w:t>
      </w:r>
      <w:r w:rsidRPr="008251C4">
        <w:rPr>
          <w:sz w:val="22"/>
          <w:szCs w:val="22"/>
          <w:highlight w:val="yellow"/>
          <w:lang w:val="en-GB"/>
        </w:rPr>
        <w:t>Learning Agreement for Erasmus+ mobility for studies and for traineeships]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1C6A7C" w:rsidRPr="008904B8">
        <w:rPr>
          <w:highlight w:val="yellow"/>
          <w:lang w:val="en-GB"/>
        </w:rPr>
        <w:t>[</w:t>
      </w:r>
      <w:r w:rsidR="00C86958" w:rsidRPr="008904B8">
        <w:rPr>
          <w:highlight w:val="yellow"/>
          <w:lang w:val="en-GB"/>
        </w:rPr>
        <w:t>studies</w:t>
      </w:r>
      <w:r w:rsidR="001C6A7C" w:rsidRPr="008904B8">
        <w:rPr>
          <w:highlight w:val="yellow"/>
          <w:lang w:val="en-GB"/>
        </w:rPr>
        <w:t>/traineeship/studies and traineeship</w:t>
      </w:r>
      <w:r w:rsidR="001C6A7C">
        <w:rPr>
          <w:lang w:val="en-GB"/>
        </w:rPr>
        <w:t>]</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4320A8" w:rsidRPr="004320A8">
        <w:rPr>
          <w:lang w:val="en-GB"/>
        </w:rPr>
        <w:t>2 months for traineeships and 3 months or 1 academic term or trimester for studies.</w:t>
      </w:r>
      <w:r w:rsidR="00A417ED" w:rsidRPr="00A417ED">
        <w:t xml:space="preserve"> </w:t>
      </w:r>
      <w:r w:rsidR="00A417ED" w:rsidRPr="00A417ED">
        <w:rPr>
          <w:lang w:val="en-GB"/>
        </w:rPr>
        <w:t xml:space="preserve">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w:t>
      </w:r>
      <w:r w:rsidR="00A417ED">
        <w:rPr>
          <w:lang w:val="en-GB"/>
        </w:rPr>
        <w:t xml:space="preserve">study and training activities.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2640BD">
        <w:rPr>
          <w:lang w:val="en-GB"/>
        </w:rPr>
        <w:t xml:space="preserve">or Traineeship Certificate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A721B3">
        <w:rPr>
          <w:lang w:val="en-GB"/>
        </w:rPr>
        <w:t xml:space="preserve">at least </w:t>
      </w:r>
      <w:r w:rsidR="00770D22">
        <w:rPr>
          <w:lang w:val="en-GB"/>
        </w:rPr>
        <w:t>the amount of the grant corresponding to the actual duration of the mobility period</w:t>
      </w:r>
      <w:r w:rsidR="00A721B3">
        <w:rPr>
          <w:lang w:val="en-GB"/>
        </w:rPr>
        <w:t>.</w:t>
      </w:r>
      <w:r w:rsidR="00770D22">
        <w:rPr>
          <w:lang w:val="en-GB"/>
        </w:rPr>
        <w:t xml:space="preserve">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5D1D03" w:rsidRPr="00C37C9A" w:rsidRDefault="005D1D03" w:rsidP="005D1D03">
      <w:pPr>
        <w:ind w:left="705" w:right="101" w:hanging="566"/>
        <w:jc w:val="both"/>
      </w:pPr>
      <w:r>
        <w:rPr>
          <w:lang w:val="en-GB"/>
        </w:rPr>
        <w:lastRenderedPageBreak/>
        <w:t xml:space="preserve">3.7 </w:t>
      </w:r>
      <w:r>
        <w:rPr>
          <w:lang w:val="en-GB"/>
        </w:rPr>
        <w:tab/>
      </w:r>
      <w:r w:rsidRPr="00C37C9A">
        <w:t>Under the below</w:t>
      </w:r>
      <w:r>
        <w:t xml:space="preserve"> </w:t>
      </w:r>
      <w:r w:rsidRPr="00C37C9A">
        <w:t>mentioned clauses financial support provided to participant shall be deducted or refunded.</w:t>
      </w:r>
    </w:p>
    <w:p w:rsidR="002C2B3A" w:rsidRDefault="002C2B3A" w:rsidP="002C2B3A">
      <w:pPr>
        <w:shd w:val="clear" w:color="auto" w:fill="FFFFFF"/>
        <w:jc w:val="both"/>
        <w:textAlignment w:val="baseline"/>
        <w:rPr>
          <w:rFonts w:cstheme="minorHAnsi"/>
          <w:color w:val="333333"/>
        </w:rPr>
      </w:pP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does not stay and work at the host country as a trainee for min. 2 months, then the mobility is considered invalid and student has to return the initial grant (70%) to Koç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leaves the host organization/country for more than 7 days (including weekends), student is not paid for that duration. If the student was paid for those days, then he/she is asked to return that amount to Koc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student does not submit the “Certificate of Participation”, then the mobility is considered invalid and student has to return the initial grant (70%) to Koç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does not complete the EU Survey after mobility, 5% deduction on total grant amount  is implemented</w:t>
      </w:r>
    </w:p>
    <w:p w:rsidR="002C2B3A" w:rsidRPr="002C2B3A" w:rsidRDefault="002C2B3A" w:rsidP="002C2B3A">
      <w:pPr>
        <w:pStyle w:val="ListParagraph"/>
        <w:numPr>
          <w:ilvl w:val="0"/>
          <w:numId w:val="13"/>
        </w:numPr>
        <w:shd w:val="clear" w:color="auto" w:fill="FFFFFF"/>
        <w:spacing w:before="100" w:beforeAutospacing="1" w:after="15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returns home country before the end of the traineeship period and/or before the min. required duration (min. 2 months), then sanctions regarding the Erasmus+ Worldwide grant will be implemented. If there is a “compelling reason” (mücbir sebep)**, student should immediately get in touch with OIP and OIP will seek Turkish National Agency’s advice and approval on the matter. If Turkish National Agency approves the situation as “compelling”, then OIP will inform student and student will be able to return home before the end of the mobility period. Student will only receive the grant for valid days of mobility. If a student returns home without getting in touch with OIP first, then the mobility will be considered invalid and student will be asked to return the initial grant (70%) back to Koc University. (**Compelling Reason (mücbir sebep): Family issues, Health problems, Natural disaster, etc.)</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EB42C0" w:rsidRPr="00EB42C0">
        <w:rPr>
          <w:lang w:val="en-GB"/>
        </w:rPr>
        <w:t>Within 30 calendar days following the signature of the agreement by both parties, and no later than the start date of the mobility period or upon receipt of confirmation of arrival, a pre-financing payment shall be made to the p</w:t>
      </w:r>
      <w:r w:rsidR="00EB42C0">
        <w:rPr>
          <w:lang w:val="en-GB"/>
        </w:rPr>
        <w:t>articipant representing [</w:t>
      </w:r>
      <w:r w:rsidR="00EB42C0" w:rsidRPr="00C550C6">
        <w:rPr>
          <w:highlight w:val="yellow"/>
          <w:lang w:val="en-GB"/>
        </w:rPr>
        <w:t>between 50% and 100%]</w:t>
      </w:r>
      <w:r w:rsidR="00EB42C0" w:rsidRPr="00EB42C0">
        <w:rPr>
          <w:lang w:val="en-GB"/>
        </w:rPr>
        <w:t xml:space="preserve"> </w:t>
      </w:r>
      <w:r w:rsidR="00EB42C0" w:rsidRPr="009D73A7">
        <w:rPr>
          <w:highlight w:val="cyan"/>
          <w:lang w:val="en-GB"/>
        </w:rPr>
        <w:t>[</w:t>
      </w:r>
      <w:r w:rsidR="00EB42C0">
        <w:rPr>
          <w:highlight w:val="cyan"/>
          <w:lang w:val="en-GB"/>
        </w:rPr>
        <w:t>Higher education institution</w:t>
      </w:r>
      <w:r w:rsidR="00EB42C0" w:rsidRPr="009D73A7">
        <w:rPr>
          <w:highlight w:val="cyan"/>
          <w:lang w:val="en-GB"/>
        </w:rPr>
        <w:t xml:space="preserve"> complete</w:t>
      </w:r>
      <w:r w:rsidR="00EB42C0">
        <w:rPr>
          <w:highlight w:val="cyan"/>
          <w:lang w:val="en-GB"/>
        </w:rPr>
        <w:t>s</w:t>
      </w:r>
      <w:r w:rsidR="00EB42C0" w:rsidRPr="009D73A7">
        <w:rPr>
          <w:highlight w:val="cyan"/>
          <w:lang w:val="en-GB"/>
        </w:rPr>
        <w:t xml:space="preserve"> with specific </w:t>
      </w:r>
      <w:r w:rsidR="00EB42C0">
        <w:rPr>
          <w:highlight w:val="cyan"/>
          <w:lang w:val="en-GB"/>
        </w:rPr>
        <w:t xml:space="preserve">provisions on </w:t>
      </w:r>
      <w:r w:rsidR="00EB42C0" w:rsidRPr="001D60C9">
        <w:rPr>
          <w:highlight w:val="cyan"/>
          <w:lang w:val="en-GB"/>
        </w:rPr>
        <w:t>pre-financing payment</w:t>
      </w:r>
      <w:r w:rsidR="00EB42C0">
        <w:rPr>
          <w:highlight w:val="cyan"/>
          <w:lang w:val="en-GB"/>
        </w:rPr>
        <w:t>(s), amounts.]</w:t>
      </w:r>
      <w:r w:rsidR="00EB42C0" w:rsidRPr="00EB42C0">
        <w:t xml:space="preserve"> </w:t>
      </w:r>
      <w:r w:rsidR="00EB42C0" w:rsidRPr="00EB42C0">
        <w:rPr>
          <w:lang w:val="en-GB"/>
        </w:rPr>
        <w:t>of the financial support from Erasmus+ EU funds specified in Article 3.</w:t>
      </w:r>
    </w:p>
    <w:p w:rsidR="00EB42C0" w:rsidRPr="00B35A7B" w:rsidRDefault="00EB42C0" w:rsidP="00C550C6">
      <w:pPr>
        <w:jc w:val="both"/>
        <w:rPr>
          <w:highlight w:val="cyan"/>
          <w:lang w:val="en-GB"/>
        </w:rPr>
      </w:pP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A721B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A721B3">
        <w:rPr>
          <w:highlight w:val="cyan"/>
          <w:lang w:val="en-GB"/>
        </w:rPr>
        <w:t>; for traineeships: receiving organisation, institution or student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9B7B70" w:rsidRDefault="00C201E1" w:rsidP="00710867">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721B3" w:rsidRPr="00BB0723">
        <w:rPr>
          <w:highlight w:val="cyan"/>
          <w:lang w:val="en-GB"/>
        </w:rPr>
        <w:t>[For studies and traineeship</w:t>
      </w:r>
      <w:r w:rsidR="00A721B3" w:rsidRPr="00377320">
        <w:rPr>
          <w:highlight w:val="cyan"/>
          <w:lang w:val="en-GB"/>
        </w:rPr>
        <w:t>s</w:t>
      </w:r>
      <w:r w:rsidR="00A721B3" w:rsidRPr="00571643">
        <w:rPr>
          <w:highlight w:val="cyan"/>
          <w:lang w:val="en-GB"/>
        </w:rPr>
        <w:t>]</w:t>
      </w:r>
      <w:r w:rsidR="00A721B3">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rsidR="007F16E1" w:rsidRPr="00C201E1" w:rsidRDefault="007F16E1" w:rsidP="007F16E1">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rsidR="007F16E1" w:rsidRPr="00C201E1" w:rsidRDefault="007F16E1" w:rsidP="007F16E1">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rsidR="007F16E1" w:rsidRPr="00C201E1" w:rsidRDefault="007F16E1" w:rsidP="007F16E1">
      <w:pPr>
        <w:ind w:left="567" w:hanging="567"/>
        <w:jc w:val="both"/>
        <w:rPr>
          <w:lang w:val="en-GB"/>
        </w:rPr>
      </w:pPr>
      <w:r w:rsidRPr="00C201E1">
        <w:rPr>
          <w:lang w:val="en-GB"/>
        </w:rPr>
        <w:lastRenderedPageBreak/>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rsidR="007F16E1" w:rsidRDefault="007F16E1" w:rsidP="007F16E1">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rsidR="007F16E1" w:rsidRDefault="007F16E1" w:rsidP="00710867">
      <w:pPr>
        <w:ind w:left="567" w:hanging="567"/>
        <w:jc w:val="both"/>
        <w:rPr>
          <w:lang w:val="en-GB"/>
        </w:rPr>
      </w:pPr>
    </w:p>
    <w:p w:rsidR="00710867" w:rsidRDefault="00710867" w:rsidP="00710867">
      <w:pPr>
        <w:ind w:left="567" w:hanging="567"/>
        <w:jc w:val="both"/>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DF1FE5">
        <w:rPr>
          <w:lang w:val="en-GB"/>
        </w:rPr>
        <w:t xml:space="preserve"> Turkish Law</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b/>
          <w:lang w:val="en-GB"/>
        </w:rPr>
      </w:pPr>
    </w:p>
    <w:p w:rsidR="00941CDA" w:rsidRPr="0082163D" w:rsidRDefault="00941CDA">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941CDA" w:rsidRDefault="00941CDA" w:rsidP="00941CDA">
      <w:pPr>
        <w:tabs>
          <w:tab w:val="left" w:pos="1701"/>
        </w:tabs>
        <w:jc w:val="center"/>
        <w:rPr>
          <w:b/>
          <w:sz w:val="24"/>
          <w:szCs w:val="24"/>
          <w:lang w:val="en-GB"/>
        </w:rPr>
      </w:pPr>
      <w:r w:rsidRPr="00BB726D">
        <w:rPr>
          <w:b/>
          <w:sz w:val="24"/>
          <w:szCs w:val="24"/>
          <w:lang w:val="en-GB"/>
        </w:rPr>
        <w:t xml:space="preserve">Learning Agreement for Erasmus+ mobility for studies </w:t>
      </w:r>
    </w:p>
    <w:p w:rsidR="00941CDA" w:rsidRDefault="00941CDA" w:rsidP="00941CDA">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rsidR="00137EB2" w:rsidRDefault="00941CDA" w:rsidP="00941CDA">
      <w:pPr>
        <w:tabs>
          <w:tab w:val="left" w:pos="5670"/>
        </w:tabs>
        <w:jc w:val="center"/>
        <w:rPr>
          <w:sz w:val="16"/>
          <w:szCs w:val="16"/>
          <w:lang w:val="en-GB"/>
        </w:rPr>
      </w:pPr>
      <w:r w:rsidRPr="00BB726D">
        <w:rPr>
          <w:b/>
          <w:sz w:val="24"/>
          <w:szCs w:val="24"/>
          <w:lang w:val="en-GB"/>
        </w:rPr>
        <w:t>Learning Agreement for Erasmus+ mobility for traineeships</w:t>
      </w: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A5DA7">
        <w:rPr>
          <w:sz w:val="18"/>
          <w:szCs w:val="18"/>
          <w:lang w:val="en-GB"/>
        </w:rPr>
        <w:t xml:space="preserve">Turkey,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A5DA7">
        <w:rPr>
          <w:sz w:val="18"/>
          <w:szCs w:val="18"/>
          <w:lang w:val="en-GB"/>
        </w:rPr>
        <w:t>Turkey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w:t>
      </w:r>
      <w:r w:rsidR="009E49C5">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A5DA7" w:rsidRPr="00C550C6">
        <w:rPr>
          <w:sz w:val="18"/>
          <w:szCs w:val="18"/>
          <w:lang w:val="en-GB"/>
        </w:rPr>
        <w:t xml:space="preserve">Turkey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A5DA7">
        <w:rPr>
          <w:sz w:val="18"/>
          <w:szCs w:val="18"/>
          <w:lang w:val="en-GB"/>
        </w:rPr>
        <w:t xml:space="preserve">Turkey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DE" w:rsidRDefault="00B456DE">
      <w:r>
        <w:separator/>
      </w:r>
    </w:p>
  </w:endnote>
  <w:endnote w:type="continuationSeparator" w:id="0">
    <w:p w:rsidR="00B456DE" w:rsidRDefault="00B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92CCE">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F92CCE">
      <w:rPr>
        <w:rStyle w:val="PageNumber"/>
        <w:noProof/>
      </w:rPr>
      <w:t>6</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DE" w:rsidRDefault="00B456DE">
      <w:r>
        <w:separator/>
      </w:r>
    </w:p>
  </w:footnote>
  <w:footnote w:type="continuationSeparator" w:id="0">
    <w:p w:rsidR="00B456DE" w:rsidRDefault="00B4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EA33F2"/>
    <w:multiLevelType w:val="hybridMultilevel"/>
    <w:tmpl w:val="F04294A6"/>
    <w:lvl w:ilvl="0" w:tplc="978C6F96">
      <w:start w:val="1"/>
      <w:numFmt w:val="bullet"/>
      <w:lvlText w:val=""/>
      <w:lvlJc w:val="left"/>
      <w:pPr>
        <w:ind w:left="859" w:hanging="360"/>
      </w:pPr>
      <w:rPr>
        <w:rFonts w:ascii="Symbol" w:hAnsi="Symbol" w:hint="default"/>
      </w:rPr>
    </w:lvl>
    <w:lvl w:ilvl="1" w:tplc="041F0003" w:tentative="1">
      <w:start w:val="1"/>
      <w:numFmt w:val="bullet"/>
      <w:lvlText w:val="o"/>
      <w:lvlJc w:val="left"/>
      <w:pPr>
        <w:ind w:left="1579" w:hanging="360"/>
      </w:pPr>
      <w:rPr>
        <w:rFonts w:ascii="Courier New" w:hAnsi="Courier New" w:cs="Courier New" w:hint="default"/>
      </w:rPr>
    </w:lvl>
    <w:lvl w:ilvl="2" w:tplc="041F0005" w:tentative="1">
      <w:start w:val="1"/>
      <w:numFmt w:val="bullet"/>
      <w:lvlText w:val=""/>
      <w:lvlJc w:val="left"/>
      <w:pPr>
        <w:ind w:left="2299" w:hanging="360"/>
      </w:pPr>
      <w:rPr>
        <w:rFonts w:ascii="Wingdings" w:hAnsi="Wingdings" w:hint="default"/>
      </w:rPr>
    </w:lvl>
    <w:lvl w:ilvl="3" w:tplc="041F0001" w:tentative="1">
      <w:start w:val="1"/>
      <w:numFmt w:val="bullet"/>
      <w:lvlText w:val=""/>
      <w:lvlJc w:val="left"/>
      <w:pPr>
        <w:ind w:left="3019" w:hanging="360"/>
      </w:pPr>
      <w:rPr>
        <w:rFonts w:ascii="Symbol" w:hAnsi="Symbol" w:hint="default"/>
      </w:rPr>
    </w:lvl>
    <w:lvl w:ilvl="4" w:tplc="041F0003" w:tentative="1">
      <w:start w:val="1"/>
      <w:numFmt w:val="bullet"/>
      <w:lvlText w:val="o"/>
      <w:lvlJc w:val="left"/>
      <w:pPr>
        <w:ind w:left="3739" w:hanging="360"/>
      </w:pPr>
      <w:rPr>
        <w:rFonts w:ascii="Courier New" w:hAnsi="Courier New" w:cs="Courier New" w:hint="default"/>
      </w:rPr>
    </w:lvl>
    <w:lvl w:ilvl="5" w:tplc="041F0005" w:tentative="1">
      <w:start w:val="1"/>
      <w:numFmt w:val="bullet"/>
      <w:lvlText w:val=""/>
      <w:lvlJc w:val="left"/>
      <w:pPr>
        <w:ind w:left="4459" w:hanging="360"/>
      </w:pPr>
      <w:rPr>
        <w:rFonts w:ascii="Wingdings" w:hAnsi="Wingdings" w:hint="default"/>
      </w:rPr>
    </w:lvl>
    <w:lvl w:ilvl="6" w:tplc="041F0001" w:tentative="1">
      <w:start w:val="1"/>
      <w:numFmt w:val="bullet"/>
      <w:lvlText w:val=""/>
      <w:lvlJc w:val="left"/>
      <w:pPr>
        <w:ind w:left="5179" w:hanging="360"/>
      </w:pPr>
      <w:rPr>
        <w:rFonts w:ascii="Symbol" w:hAnsi="Symbol" w:hint="default"/>
      </w:rPr>
    </w:lvl>
    <w:lvl w:ilvl="7" w:tplc="041F0003" w:tentative="1">
      <w:start w:val="1"/>
      <w:numFmt w:val="bullet"/>
      <w:lvlText w:val="o"/>
      <w:lvlJc w:val="left"/>
      <w:pPr>
        <w:ind w:left="5899" w:hanging="360"/>
      </w:pPr>
      <w:rPr>
        <w:rFonts w:ascii="Courier New" w:hAnsi="Courier New" w:cs="Courier New" w:hint="default"/>
      </w:rPr>
    </w:lvl>
    <w:lvl w:ilvl="8" w:tplc="041F0005" w:tentative="1">
      <w:start w:val="1"/>
      <w:numFmt w:val="bullet"/>
      <w:lvlText w:val=""/>
      <w:lvlJc w:val="left"/>
      <w:pPr>
        <w:ind w:left="6619"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9796EFE"/>
    <w:multiLevelType w:val="hybridMultilevel"/>
    <w:tmpl w:val="D15A15D8"/>
    <w:lvl w:ilvl="0" w:tplc="6880645A">
      <w:start w:val="201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6A7C"/>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40BD"/>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B3A"/>
    <w:rsid w:val="002C2C88"/>
    <w:rsid w:val="002C5162"/>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20A8"/>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F20"/>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1D03"/>
    <w:rsid w:val="005D53D1"/>
    <w:rsid w:val="005D5473"/>
    <w:rsid w:val="005D65FD"/>
    <w:rsid w:val="005E0B96"/>
    <w:rsid w:val="005E17D7"/>
    <w:rsid w:val="005E1E34"/>
    <w:rsid w:val="005E3617"/>
    <w:rsid w:val="005E412F"/>
    <w:rsid w:val="005E4A67"/>
    <w:rsid w:val="005E5354"/>
    <w:rsid w:val="005F2679"/>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0867"/>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16E1"/>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51C4"/>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04B8"/>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1CDA"/>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9C5"/>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17ED"/>
    <w:rsid w:val="00A431C8"/>
    <w:rsid w:val="00A43FCE"/>
    <w:rsid w:val="00A44B60"/>
    <w:rsid w:val="00A45EEF"/>
    <w:rsid w:val="00A47B75"/>
    <w:rsid w:val="00A504BA"/>
    <w:rsid w:val="00A508A7"/>
    <w:rsid w:val="00A52E39"/>
    <w:rsid w:val="00A53052"/>
    <w:rsid w:val="00A53C76"/>
    <w:rsid w:val="00A60C49"/>
    <w:rsid w:val="00A616C1"/>
    <w:rsid w:val="00A6421B"/>
    <w:rsid w:val="00A6491E"/>
    <w:rsid w:val="00A64EB5"/>
    <w:rsid w:val="00A65140"/>
    <w:rsid w:val="00A70A26"/>
    <w:rsid w:val="00A721B3"/>
    <w:rsid w:val="00A747F8"/>
    <w:rsid w:val="00A7612A"/>
    <w:rsid w:val="00A80046"/>
    <w:rsid w:val="00A81958"/>
    <w:rsid w:val="00A82C0F"/>
    <w:rsid w:val="00A853AF"/>
    <w:rsid w:val="00A854A2"/>
    <w:rsid w:val="00A87028"/>
    <w:rsid w:val="00A87456"/>
    <w:rsid w:val="00A90767"/>
    <w:rsid w:val="00A91F48"/>
    <w:rsid w:val="00A936F1"/>
    <w:rsid w:val="00AA009A"/>
    <w:rsid w:val="00AB0D74"/>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456DE"/>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18A0"/>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680F"/>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2CCE"/>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2C2B3A"/>
    <w:pPr>
      <w:spacing w:after="160" w:line="259" w:lineRule="auto"/>
      <w:ind w:left="720"/>
      <w:contextualSpacing/>
    </w:pPr>
    <w:rPr>
      <w:rFonts w:asciiTheme="minorHAnsi" w:eastAsiaTheme="minorHAnsi" w:hAnsiTheme="minorHAnsi" w:cstheme="minorBid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A60E2614-39D6-4493-88CC-4866F6AF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2724</Words>
  <Characters>15529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Sarsılmaz</cp:lastModifiedBy>
  <cp:revision>28</cp:revision>
  <cp:lastPrinted>2016-03-21T14:00:00Z</cp:lastPrinted>
  <dcterms:created xsi:type="dcterms:W3CDTF">2017-03-13T14:42:00Z</dcterms:created>
  <dcterms:modified xsi:type="dcterms:W3CDTF">2018-11-16T13:42:00Z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